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line="480" w:lineRule="auto"/>
        <w:jc w:val="left"/>
        <w:textAlignment w:val="auto"/>
      </w:pPr>
      <w:r>
        <w:rPr>
          <w:rFonts w:ascii="宋体" w:hAnsi="宋体" w:cs="宋体" w:eastAsia="宋体"/>
          <w:sz w:val="40"/>
        </w:rPr>
        <w:t>S105</w:t>
        <w:cr/>
      </w:r>
      <w:r>
        <w:rPr>
          <w:rFonts w:ascii="宋体" w:hAnsi="宋体" w:cs="宋体" w:eastAsia="宋体"/>
          <w:sz w:val="28"/>
        </w:rPr>
        <w:t>5-port Ethernet Switch</w:t>
      </w:r>
    </w:p>
    <w:tbl>
      <w:tblPr>
        <w:tblW w:w="8500" w:type="dxa"/>
        <w:jc w:val="left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700"/>
        </w:trPr>
        <w:tc>
          <w:tcPr>
            <w:vAlign w:val="center"/>
          </w:tcPr>
          <w:tcPr>
            <w:hMerge w:val="restart"/>
          </w:tcPr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sz w:val="20"/>
              </w:rPr>
              <w:t xml:space="preserve">      Hardware</w:t>
            </w:r>
          </w:p>
        </w:tc>
        <w:tc>
          <w:tcPr>
            <w:vAlign w:val="center"/>
          </w:tcPr>
          <w:tcPr>
            <w:hMerge w:val="continue"/>
          </w:tcPr>
          <w:p>
            <w:pPr>
              <w:spacing w:before="80" w:after="80"/>
              <w:jc w:val="left"/>
            </w:pP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Network standards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IEEE 802.3, IEEE 802.3u, IEEE 802.3x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LED Indicator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1* Power, 5* Link/Act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Interfaces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5*10/100 Base-TX Ethernet ports (Auto MDI/MDIX)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Transmission media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Recommended: CAT5/5e UTP or better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Dimension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82.0mmx52.0mmx22.3mm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Material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Plastic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Level of protection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ESD: </w:t>
              <w:br/>
              <w:t xml:space="preserve">  Air discharge: ±8kV</w:t>
              <w:br/>
              <w:t xml:space="preserve">  Contact discharge: ±6kV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Forwarding mode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Store-and-forward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Switch capacity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1.0Gbps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Packet forwarding rate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0.74Mpps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Buffer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448K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MAC address table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1K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Power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Input: 100-240V AC 50/60Hz </w:t>
              <w:br/>
              <w:t xml:space="preserve">  Output: 5.0V 0.6A ( External Power Adapter )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Power consumption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Max:&lt;1.6W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Mounting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Desktop mounting: support</w:t>
              <w:br/>
              <w:t xml:space="preserve">  Wall mounting: support</w:t>
              <w:br/>
              <w:t xml:space="preserve">  Rack mounting:non-support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Environment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Operating temperature: 0°C - 45℃</w:t>
              <w:br/>
              <w:t xml:space="preserve">  Storage temperature: -40°C - 70°C</w:t>
              <w:br/>
              <w:t xml:space="preserve">  Operating humidity: (10% - 90%) RH, non-condensing</w:t>
              <w:br/>
              <w:t xml:space="preserve">  Storage humidity: (5% - 90%) RH, non-condensing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Certification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CE, FCC, RoHS</w:t>
            </w:r>
          </w:p>
        </w:tc>
      </w:tr>
      <w:tr>
        <w:trPr>
          <w:trHeight w:val="700"/>
        </w:trPr>
        <w:tc>
          <w:tcPr>
            <w:vAlign w:val="center"/>
          </w:tcPr>
          <w:tcPr>
            <w:hMerge w:val="restart"/>
          </w:tcPr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sz w:val="20"/>
              </w:rPr>
              <w:t xml:space="preserve">      Software</w:t>
            </w:r>
          </w:p>
        </w:tc>
        <w:tc>
          <w:tcPr>
            <w:vAlign w:val="center"/>
          </w:tcPr>
          <w:tcPr>
            <w:hMerge w:val="continue"/>
          </w:tcPr>
          <w:p>
            <w:pPr>
              <w:spacing w:before="80" w:after="80"/>
              <w:jc w:val="left"/>
            </w:pP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Protocols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CDMA/CD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MAC address learning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Auto-Learning and Auto-Aging</w:t>
            </w:r>
          </w:p>
        </w:tc>
      </w:tr>
      <w:tr>
        <w:trPr>
          <w:trHeight w:val="700"/>
        </w:trPr>
        <w:tc>
          <w:tcPr>
            <w:vAlign w:val="center"/>
          </w:tcPr>
          <w:p>
            <w:pPr>
              <w:jc w:val="center"/>
            </w:pPr>
            <w:r>
              <w:rPr>
                <w:rFonts w:ascii="Arial" w:hAnsi="Arial" w:cs="Arial" w:eastAsia="Arial"/>
                <w:sz w:val="20"/>
              </w:rPr>
              <w:t>Funtions</w:t>
            </w:r>
          </w:p>
        </w:tc>
        <w:tc>
          <w:tcPr>
            <w:vAlign w:val="center"/>
          </w:tcPr>
          <w:p>
            <w:pPr>
              <w:spacing w:before="80" w:after="80"/>
              <w:jc w:val="left"/>
            </w:pPr>
            <w:r>
              <w:rPr>
                <w:rFonts w:ascii="Arial" w:hAnsi="Arial" w:cs="Arial" w:eastAsia="Arial"/>
                <w:spacing w:val="20"/>
                <w:sz w:val="20"/>
              </w:rPr>
              <w:t xml:space="preserve">  plug-and-play</w:t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2026-01-20T13:36:01Z</dcterms:created>
  <dc:creator>Apache POI</dc:creator>
</cp:coreProperties>
</file>